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843"/>
        <w:gridCol w:w="4819"/>
        <w:gridCol w:w="4820"/>
        <w:gridCol w:w="2693"/>
      </w:tblGrid>
      <w:tr w:rsidR="00BD65F3" w:rsidRPr="009D775B" w14:paraId="5A0577B3" w14:textId="77777777" w:rsidTr="000725DD">
        <w:tc>
          <w:tcPr>
            <w:tcW w:w="704" w:type="dxa"/>
            <w:vAlign w:val="center"/>
          </w:tcPr>
          <w:p w14:paraId="428DF4E5" w14:textId="77777777" w:rsidR="00BD65F3" w:rsidRPr="009D775B" w:rsidRDefault="00BD65F3" w:rsidP="00B21EDB">
            <w:pPr>
              <w:jc w:val="center"/>
              <w:rPr>
                <w:b/>
                <w:szCs w:val="22"/>
              </w:rPr>
            </w:pPr>
            <w:bookmarkStart w:id="0" w:name="_GoBack"/>
            <w:r w:rsidRPr="009D775B">
              <w:rPr>
                <w:b/>
                <w:sz w:val="22"/>
                <w:szCs w:val="22"/>
              </w:rPr>
              <w:t xml:space="preserve">  Nr.</w:t>
            </w:r>
          </w:p>
        </w:tc>
        <w:tc>
          <w:tcPr>
            <w:tcW w:w="1843" w:type="dxa"/>
            <w:vAlign w:val="center"/>
          </w:tcPr>
          <w:p w14:paraId="5AF8C9DC" w14:textId="77777777" w:rsidR="00BD65F3" w:rsidRPr="009D775B" w:rsidRDefault="00BD65F3" w:rsidP="00B21EDB">
            <w:pPr>
              <w:jc w:val="center"/>
              <w:rPr>
                <w:b/>
                <w:szCs w:val="22"/>
              </w:rPr>
            </w:pPr>
            <w:r w:rsidRPr="009D775B">
              <w:rPr>
                <w:b/>
                <w:sz w:val="22"/>
                <w:szCs w:val="22"/>
              </w:rPr>
              <w:t xml:space="preserve">Išlaidos  </w:t>
            </w:r>
          </w:p>
        </w:tc>
        <w:tc>
          <w:tcPr>
            <w:tcW w:w="4819" w:type="dxa"/>
            <w:vAlign w:val="center"/>
          </w:tcPr>
          <w:p w14:paraId="2A451A03" w14:textId="001CE7B6" w:rsidR="00BD65F3" w:rsidRPr="009D775B" w:rsidRDefault="00BD65F3" w:rsidP="00B21EDB">
            <w:pPr>
              <w:jc w:val="center"/>
              <w:rPr>
                <w:b/>
                <w:szCs w:val="22"/>
              </w:rPr>
            </w:pPr>
            <w:r w:rsidRPr="009D775B">
              <w:rPr>
                <w:b/>
                <w:sz w:val="22"/>
                <w:szCs w:val="22"/>
              </w:rPr>
              <w:t>Reikalavimai ir paaiškinimai</w:t>
            </w:r>
            <w:r>
              <w:rPr>
                <w:b/>
                <w:sz w:val="22"/>
                <w:szCs w:val="22"/>
              </w:rPr>
              <w:t xml:space="preserve"> (Pagal PFSA 13.9 p.)</w:t>
            </w:r>
          </w:p>
        </w:tc>
        <w:tc>
          <w:tcPr>
            <w:tcW w:w="4820" w:type="dxa"/>
            <w:vAlign w:val="center"/>
          </w:tcPr>
          <w:p w14:paraId="3A1C31ED" w14:textId="22574365" w:rsidR="00BD65F3" w:rsidRPr="009D775B" w:rsidRDefault="0011776B" w:rsidP="00B21EDB">
            <w:pPr>
              <w:jc w:val="center"/>
              <w:rPr>
                <w:b/>
                <w:szCs w:val="22"/>
              </w:rPr>
            </w:pPr>
            <w:r>
              <w:rPr>
                <w:b/>
                <w:szCs w:val="22"/>
              </w:rPr>
              <w:t>Dokumentai</w:t>
            </w:r>
            <w:r w:rsidR="00BD65F3">
              <w:rPr>
                <w:b/>
                <w:szCs w:val="22"/>
              </w:rPr>
              <w:t xml:space="preserve"> teikiami CPVA</w:t>
            </w:r>
          </w:p>
        </w:tc>
        <w:tc>
          <w:tcPr>
            <w:tcW w:w="2693" w:type="dxa"/>
            <w:vAlign w:val="center"/>
          </w:tcPr>
          <w:p w14:paraId="1564E081" w14:textId="53F07EBB" w:rsidR="00BD65F3" w:rsidRPr="009D775B" w:rsidRDefault="00BD65F3" w:rsidP="00B21EDB">
            <w:pPr>
              <w:jc w:val="center"/>
              <w:rPr>
                <w:b/>
                <w:szCs w:val="22"/>
              </w:rPr>
            </w:pPr>
            <w:r>
              <w:rPr>
                <w:b/>
                <w:szCs w:val="22"/>
              </w:rPr>
              <w:t>Galimybė supaprastinti</w:t>
            </w:r>
          </w:p>
        </w:tc>
      </w:tr>
      <w:tr w:rsidR="00BD65F3" w:rsidRPr="00F61BBD" w14:paraId="2903055F" w14:textId="77777777" w:rsidTr="000725DD">
        <w:trPr>
          <w:trHeight w:val="4205"/>
        </w:trPr>
        <w:tc>
          <w:tcPr>
            <w:tcW w:w="704" w:type="dxa"/>
          </w:tcPr>
          <w:p w14:paraId="1ECDE8C5" w14:textId="77777777" w:rsidR="00BD65F3" w:rsidRPr="009D775B" w:rsidRDefault="00BD65F3" w:rsidP="00B21EDB">
            <w:pPr>
              <w:jc w:val="both"/>
              <w:rPr>
                <w:bCs/>
                <w:szCs w:val="22"/>
              </w:rPr>
            </w:pPr>
            <w:r w:rsidRPr="009D775B">
              <w:rPr>
                <w:bCs/>
                <w:sz w:val="22"/>
                <w:szCs w:val="22"/>
              </w:rPr>
              <w:t>1.</w:t>
            </w:r>
          </w:p>
        </w:tc>
        <w:tc>
          <w:tcPr>
            <w:tcW w:w="1843" w:type="dxa"/>
          </w:tcPr>
          <w:p w14:paraId="5C677FC4" w14:textId="77777777" w:rsidR="00BD65F3" w:rsidRPr="009D775B" w:rsidRDefault="00BD65F3" w:rsidP="00B21EDB">
            <w:pPr>
              <w:jc w:val="both"/>
              <w:rPr>
                <w:szCs w:val="22"/>
                <w:lang w:eastAsia="lt-LT"/>
              </w:rPr>
            </w:pPr>
            <w:r w:rsidRPr="00C57054">
              <w:rPr>
                <w:sz w:val="22"/>
                <w:szCs w:val="22"/>
                <w:lang w:eastAsia="lt-LT"/>
              </w:rPr>
              <w:t>Įranga, įrenginiai ir kitas turtas</w:t>
            </w:r>
          </w:p>
        </w:tc>
        <w:tc>
          <w:tcPr>
            <w:tcW w:w="4819" w:type="dxa"/>
          </w:tcPr>
          <w:p w14:paraId="048E4539" w14:textId="77777777" w:rsidR="00BD65F3" w:rsidRPr="00BD65F3" w:rsidRDefault="00BD65F3" w:rsidP="00B21EDB">
            <w:pPr>
              <w:jc w:val="both"/>
              <w:rPr>
                <w:b/>
                <w:bCs/>
                <w:sz w:val="22"/>
                <w:szCs w:val="22"/>
              </w:rPr>
            </w:pPr>
            <w:r w:rsidRPr="00BD65F3">
              <w:rPr>
                <w:b/>
                <w:bCs/>
                <w:sz w:val="22"/>
                <w:szCs w:val="22"/>
              </w:rPr>
              <w:t>Tinkama finansuoti:</w:t>
            </w:r>
          </w:p>
          <w:p w14:paraId="06FC67F9" w14:textId="61024058" w:rsidR="00BD65F3" w:rsidRPr="00A40058" w:rsidRDefault="00BD65F3" w:rsidP="00B21EDB">
            <w:pPr>
              <w:jc w:val="both"/>
              <w:rPr>
                <w:szCs w:val="22"/>
              </w:rPr>
            </w:pPr>
            <w:r>
              <w:rPr>
                <w:sz w:val="22"/>
                <w:szCs w:val="22"/>
              </w:rPr>
              <w:t>-</w:t>
            </w:r>
            <w:r w:rsidRPr="0073545F">
              <w:rPr>
                <w:sz w:val="22"/>
                <w:szCs w:val="22"/>
              </w:rPr>
              <w:t xml:space="preserve"> projekto veikloms vykdyti būtinų baldų, kompiuterinės technikos, programinės įrangos, kitos įrangos, įrenginių ir kito ilgalaikio turto įsigijimo ir lizingo (finansinės nuomos) išlaidos, taip pat programinės įrangos kūrimo, informacinių sistemų kūrimo ir (ar) modernizavimo išlaidos (įskaitant informacinių sistemų projektavimo, techninės priežiūros ir kitas susijusias išlaidas). Taikant </w:t>
            </w:r>
            <w:r w:rsidRPr="00C00559">
              <w:rPr>
                <w:i/>
                <w:iCs/>
                <w:sz w:val="22"/>
                <w:szCs w:val="22"/>
              </w:rPr>
              <w:t>pro rata</w:t>
            </w:r>
            <w:r w:rsidRPr="0073545F">
              <w:rPr>
                <w:sz w:val="22"/>
                <w:szCs w:val="22"/>
              </w:rPr>
              <w:t xml:space="preserve"> dydžio taikymą, jei naudojama ne tik projekto veikloms, tokiu atveju būtų finansuojama tik ta apimtimi, kuri būtina projekto rezultatams pasiekti.</w:t>
            </w:r>
          </w:p>
        </w:tc>
        <w:tc>
          <w:tcPr>
            <w:tcW w:w="4820" w:type="dxa"/>
          </w:tcPr>
          <w:p w14:paraId="04CDF3BC" w14:textId="77777777" w:rsidR="00F26022" w:rsidRDefault="002834BD" w:rsidP="00F26022">
            <w:pPr>
              <w:pStyle w:val="ListParagraph"/>
              <w:numPr>
                <w:ilvl w:val="0"/>
                <w:numId w:val="6"/>
              </w:numPr>
              <w:rPr>
                <w:szCs w:val="22"/>
              </w:rPr>
            </w:pPr>
            <w:r w:rsidRPr="00F26022">
              <w:rPr>
                <w:b/>
                <w:bCs/>
                <w:szCs w:val="22"/>
              </w:rPr>
              <w:t>Pirkimo dokumentai</w:t>
            </w:r>
            <w:r w:rsidRPr="00E84D97">
              <w:rPr>
                <w:szCs w:val="22"/>
              </w:rPr>
              <w:t>,</w:t>
            </w:r>
          </w:p>
          <w:p w14:paraId="2A8B7C58" w14:textId="77777777" w:rsidR="00F26022" w:rsidRDefault="002834BD" w:rsidP="00F26022">
            <w:pPr>
              <w:pStyle w:val="ListParagraph"/>
              <w:numPr>
                <w:ilvl w:val="0"/>
                <w:numId w:val="6"/>
              </w:numPr>
              <w:rPr>
                <w:szCs w:val="22"/>
              </w:rPr>
            </w:pPr>
            <w:r w:rsidRPr="00E84D97">
              <w:rPr>
                <w:szCs w:val="22"/>
              </w:rPr>
              <w:t xml:space="preserve"> </w:t>
            </w:r>
            <w:r w:rsidR="00AD7732" w:rsidRPr="00F26022">
              <w:rPr>
                <w:b/>
                <w:bCs/>
                <w:szCs w:val="22"/>
              </w:rPr>
              <w:t>sutartys</w:t>
            </w:r>
            <w:r w:rsidR="00AD7732" w:rsidRPr="00E84D97">
              <w:rPr>
                <w:szCs w:val="22"/>
              </w:rPr>
              <w:t xml:space="preserve"> su tiekėjais, sutarčių pakeitimai ir papildomi susitarimai; </w:t>
            </w:r>
          </w:p>
          <w:p w14:paraId="3313A565" w14:textId="77777777" w:rsidR="00F26022" w:rsidRDefault="002834BD" w:rsidP="00F26022">
            <w:pPr>
              <w:pStyle w:val="ListParagraph"/>
              <w:numPr>
                <w:ilvl w:val="0"/>
                <w:numId w:val="6"/>
              </w:numPr>
              <w:rPr>
                <w:szCs w:val="22"/>
              </w:rPr>
            </w:pPr>
            <w:r w:rsidRPr="00F26022">
              <w:rPr>
                <w:b/>
                <w:bCs/>
                <w:szCs w:val="22"/>
              </w:rPr>
              <w:t>sąskaitos</w:t>
            </w:r>
            <w:r w:rsidR="00AD7732" w:rsidRPr="00F26022">
              <w:rPr>
                <w:b/>
                <w:bCs/>
                <w:szCs w:val="22"/>
              </w:rPr>
              <w:t xml:space="preserve"> faktūros</w:t>
            </w:r>
            <w:r w:rsidRPr="00E84D97">
              <w:rPr>
                <w:szCs w:val="22"/>
              </w:rPr>
              <w:t xml:space="preserve">, </w:t>
            </w:r>
          </w:p>
          <w:p w14:paraId="50CC1945" w14:textId="77777777" w:rsidR="00F26022" w:rsidRDefault="00AD7732" w:rsidP="00F26022">
            <w:pPr>
              <w:pStyle w:val="ListParagraph"/>
              <w:numPr>
                <w:ilvl w:val="0"/>
                <w:numId w:val="6"/>
              </w:numPr>
              <w:rPr>
                <w:szCs w:val="22"/>
              </w:rPr>
            </w:pPr>
            <w:r w:rsidRPr="00F26022">
              <w:rPr>
                <w:b/>
                <w:bCs/>
                <w:szCs w:val="22"/>
              </w:rPr>
              <w:t xml:space="preserve">prekių </w:t>
            </w:r>
            <w:r w:rsidR="002834BD" w:rsidRPr="00F26022">
              <w:rPr>
                <w:b/>
                <w:bCs/>
                <w:szCs w:val="22"/>
              </w:rPr>
              <w:t>priėmimo – perdavimo aktai</w:t>
            </w:r>
            <w:r w:rsidR="002834BD" w:rsidRPr="00E84D97">
              <w:rPr>
                <w:szCs w:val="22"/>
              </w:rPr>
              <w:t>,</w:t>
            </w:r>
          </w:p>
          <w:p w14:paraId="5ED68BA7" w14:textId="13BCE5E4" w:rsidR="00BD65F3" w:rsidRPr="00E84D97" w:rsidRDefault="002834BD" w:rsidP="00F26022">
            <w:pPr>
              <w:pStyle w:val="ListParagraph"/>
              <w:numPr>
                <w:ilvl w:val="0"/>
                <w:numId w:val="6"/>
              </w:numPr>
              <w:rPr>
                <w:szCs w:val="22"/>
              </w:rPr>
            </w:pPr>
            <w:r w:rsidRPr="00E84D97">
              <w:rPr>
                <w:szCs w:val="22"/>
              </w:rPr>
              <w:t xml:space="preserve"> </w:t>
            </w:r>
            <w:r w:rsidR="00AD7732" w:rsidRPr="00F26022">
              <w:rPr>
                <w:b/>
                <w:bCs/>
                <w:szCs w:val="22"/>
                <w:lang w:val="lt"/>
              </w:rPr>
              <w:t>išlaidų apmokėjimo dokumentai</w:t>
            </w:r>
            <w:r w:rsidR="00AD7732" w:rsidRPr="00E84D97">
              <w:rPr>
                <w:szCs w:val="22"/>
                <w:lang w:val="lt"/>
              </w:rPr>
              <w:t>.</w:t>
            </w:r>
          </w:p>
        </w:tc>
        <w:tc>
          <w:tcPr>
            <w:tcW w:w="2693" w:type="dxa"/>
          </w:tcPr>
          <w:p w14:paraId="3D3C6E59" w14:textId="77777777" w:rsidR="000725DD" w:rsidRDefault="000725DD" w:rsidP="000725DD">
            <w:pPr>
              <w:pStyle w:val="ListParagraph"/>
              <w:ind w:left="0"/>
              <w:jc w:val="both"/>
              <w:rPr>
                <w:szCs w:val="22"/>
              </w:rPr>
            </w:pPr>
            <w:r>
              <w:rPr>
                <w:szCs w:val="22"/>
              </w:rPr>
              <w:t>Jeigu pateikiama VA su daugiau kaip 30 tikrintinų elementų, taikoma tikrintinų dokumentų atranka.</w:t>
            </w:r>
          </w:p>
          <w:p w14:paraId="098789CA" w14:textId="77777777" w:rsidR="00BD65F3" w:rsidRDefault="000725DD" w:rsidP="000725DD">
            <w:pPr>
              <w:pStyle w:val="ListParagraph"/>
              <w:ind w:left="0"/>
              <w:jc w:val="both"/>
              <w:rPr>
                <w:szCs w:val="22"/>
              </w:rPr>
            </w:pPr>
            <w:r>
              <w:rPr>
                <w:szCs w:val="22"/>
              </w:rPr>
              <w:t>M</w:t>
            </w:r>
            <w:r w:rsidRPr="000725DD">
              <w:rPr>
                <w:szCs w:val="22"/>
              </w:rPr>
              <w:t>inimali tikrinimo imtis priklauso nuo bendro projekto rizikos reikšmingumo:</w:t>
            </w:r>
          </w:p>
          <w:p w14:paraId="31447453" w14:textId="77777777" w:rsidR="000725DD" w:rsidRDefault="000725DD" w:rsidP="000725DD">
            <w:pPr>
              <w:pStyle w:val="ListParagraph"/>
              <w:ind w:left="0"/>
              <w:jc w:val="both"/>
              <w:rPr>
                <w:szCs w:val="22"/>
              </w:rPr>
            </w:pPr>
            <w:r>
              <w:rPr>
                <w:szCs w:val="22"/>
              </w:rPr>
              <w:t>Mažas – 20 %</w:t>
            </w:r>
          </w:p>
          <w:p w14:paraId="5DD2824C" w14:textId="77777777" w:rsidR="000725DD" w:rsidRDefault="000725DD" w:rsidP="000725DD">
            <w:pPr>
              <w:pStyle w:val="ListParagraph"/>
              <w:ind w:left="0"/>
              <w:jc w:val="both"/>
              <w:rPr>
                <w:szCs w:val="22"/>
              </w:rPr>
            </w:pPr>
            <w:r>
              <w:rPr>
                <w:szCs w:val="22"/>
              </w:rPr>
              <w:t>Vidutinis – 25%</w:t>
            </w:r>
          </w:p>
          <w:p w14:paraId="2A9ECBA4" w14:textId="77777777" w:rsidR="000725DD" w:rsidRDefault="000725DD" w:rsidP="000725DD">
            <w:pPr>
              <w:pStyle w:val="ListParagraph"/>
              <w:ind w:left="0"/>
              <w:jc w:val="both"/>
              <w:rPr>
                <w:szCs w:val="22"/>
              </w:rPr>
            </w:pPr>
            <w:r>
              <w:rPr>
                <w:szCs w:val="22"/>
              </w:rPr>
              <w:t>Didelis – 30%</w:t>
            </w:r>
          </w:p>
          <w:p w14:paraId="29F1DEC4" w14:textId="77777777" w:rsidR="000725DD" w:rsidRDefault="000725DD" w:rsidP="000725DD">
            <w:pPr>
              <w:pStyle w:val="ListParagraph"/>
              <w:ind w:left="0"/>
              <w:jc w:val="both"/>
              <w:rPr>
                <w:szCs w:val="22"/>
              </w:rPr>
            </w:pPr>
          </w:p>
          <w:p w14:paraId="78E5F55E" w14:textId="287CCA0B" w:rsidR="000725DD" w:rsidRPr="00F61BBD" w:rsidRDefault="000725DD" w:rsidP="000725DD">
            <w:pPr>
              <w:pStyle w:val="ListParagraph"/>
              <w:ind w:left="0"/>
              <w:jc w:val="both"/>
              <w:rPr>
                <w:szCs w:val="22"/>
              </w:rPr>
            </w:pPr>
            <w:r>
              <w:rPr>
                <w:szCs w:val="22"/>
              </w:rPr>
              <w:t xml:space="preserve">Pagal susitarimą VA galima teikti rečiau, negu kas 3 mėn. </w:t>
            </w:r>
          </w:p>
        </w:tc>
      </w:tr>
      <w:tr w:rsidR="00BD65F3" w:rsidRPr="0073545F" w14:paraId="6C0A2F22" w14:textId="77777777" w:rsidTr="000725DD">
        <w:tc>
          <w:tcPr>
            <w:tcW w:w="704" w:type="dxa"/>
          </w:tcPr>
          <w:p w14:paraId="73F1C87A" w14:textId="77777777" w:rsidR="00BD65F3" w:rsidRPr="009D775B" w:rsidRDefault="00BD65F3" w:rsidP="00B21EDB">
            <w:pPr>
              <w:jc w:val="both"/>
              <w:rPr>
                <w:bCs/>
                <w:szCs w:val="22"/>
              </w:rPr>
            </w:pPr>
            <w:r w:rsidRPr="009D775B">
              <w:rPr>
                <w:bCs/>
                <w:sz w:val="22"/>
                <w:szCs w:val="22"/>
              </w:rPr>
              <w:t>2.</w:t>
            </w:r>
          </w:p>
        </w:tc>
        <w:tc>
          <w:tcPr>
            <w:tcW w:w="1843" w:type="dxa"/>
          </w:tcPr>
          <w:p w14:paraId="1DA4EEA7" w14:textId="77777777" w:rsidR="00BD65F3" w:rsidRPr="009D775B" w:rsidRDefault="00BD65F3" w:rsidP="00B21EDB">
            <w:pPr>
              <w:jc w:val="both"/>
              <w:rPr>
                <w:szCs w:val="22"/>
                <w:lang w:eastAsia="lt-LT"/>
              </w:rPr>
            </w:pPr>
            <w:r w:rsidRPr="00C57054">
              <w:rPr>
                <w:sz w:val="22"/>
                <w:szCs w:val="22"/>
                <w:lang w:eastAsia="lt-LT"/>
              </w:rPr>
              <w:t>Projekto vykdymas (paslaugos ir darbo užmokestis)</w:t>
            </w:r>
          </w:p>
        </w:tc>
        <w:tc>
          <w:tcPr>
            <w:tcW w:w="4819" w:type="dxa"/>
          </w:tcPr>
          <w:p w14:paraId="5B6439BC" w14:textId="77777777" w:rsidR="00BD65F3" w:rsidRPr="00BD65F3" w:rsidRDefault="00BD65F3" w:rsidP="00B21EDB">
            <w:pPr>
              <w:jc w:val="both"/>
              <w:rPr>
                <w:b/>
                <w:szCs w:val="22"/>
              </w:rPr>
            </w:pPr>
            <w:r w:rsidRPr="00BD65F3">
              <w:rPr>
                <w:b/>
                <w:sz w:val="22"/>
                <w:szCs w:val="22"/>
              </w:rPr>
              <w:t xml:space="preserve">Tinkama finansuoti: </w:t>
            </w:r>
          </w:p>
          <w:p w14:paraId="68A4A710" w14:textId="77777777" w:rsidR="00BD65F3" w:rsidRPr="00BD65F3" w:rsidRDefault="00BD65F3" w:rsidP="00B21EDB">
            <w:pPr>
              <w:pStyle w:val="ListParagraph"/>
              <w:numPr>
                <w:ilvl w:val="0"/>
                <w:numId w:val="2"/>
              </w:numPr>
              <w:jc w:val="both"/>
              <w:rPr>
                <w:bCs/>
                <w:szCs w:val="22"/>
              </w:rPr>
            </w:pPr>
            <w:r w:rsidRPr="008E6672">
              <w:rPr>
                <w:bCs/>
                <w:sz w:val="22"/>
                <w:szCs w:val="22"/>
              </w:rPr>
              <w:t>projektą vykdančio personalo darbo užmokestis ir išlaidos su darbo santykiais susijusiems darbdavio įsipareigojimams, atlygio projektą vykdantiems fiziniams asmenims pagal paslaugų (civilines), autorines ar kitas sutartis išlaidos. Patirtos projektą vykdančio personalo darbo užmokesčio už kasmetines atostogas ir (arba) kompensacijos už nepanaudotas kasmetines atostogas ir papildomų poilsio dienų išmokos</w:t>
            </w:r>
            <w:r>
              <w:rPr>
                <w:bCs/>
                <w:sz w:val="22"/>
                <w:szCs w:val="22"/>
              </w:rPr>
              <w:t>;</w:t>
            </w:r>
          </w:p>
          <w:p w14:paraId="2846B3E2" w14:textId="77777777" w:rsidR="00BD65F3" w:rsidRPr="008E6672" w:rsidRDefault="00BD65F3" w:rsidP="00BD65F3">
            <w:pPr>
              <w:pStyle w:val="ListParagraph"/>
              <w:numPr>
                <w:ilvl w:val="0"/>
                <w:numId w:val="2"/>
              </w:numPr>
              <w:jc w:val="both"/>
              <w:rPr>
                <w:bCs/>
                <w:szCs w:val="22"/>
              </w:rPr>
            </w:pPr>
            <w:r>
              <w:rPr>
                <w:bCs/>
                <w:sz w:val="22"/>
                <w:szCs w:val="22"/>
              </w:rPr>
              <w:t>teisinės ir kitos paslaugos;</w:t>
            </w:r>
          </w:p>
          <w:p w14:paraId="493561C0" w14:textId="3B6FA6BD" w:rsidR="00BD65F3" w:rsidRDefault="00BD65F3" w:rsidP="00BD65F3">
            <w:pPr>
              <w:pStyle w:val="ListParagraph"/>
              <w:numPr>
                <w:ilvl w:val="0"/>
                <w:numId w:val="2"/>
              </w:numPr>
              <w:jc w:val="both"/>
              <w:rPr>
                <w:bCs/>
                <w:szCs w:val="22"/>
              </w:rPr>
            </w:pPr>
            <w:r w:rsidRPr="00724B98">
              <w:rPr>
                <w:sz w:val="22"/>
                <w:szCs w:val="22"/>
                <w:lang w:val="lt"/>
              </w:rPr>
              <w:t>M</w:t>
            </w:r>
            <w:r>
              <w:rPr>
                <w:sz w:val="22"/>
                <w:szCs w:val="22"/>
                <w:lang w:val="lt"/>
              </w:rPr>
              <w:t xml:space="preserve">okslinių tyrimų, eksperimentinės plėtros </w:t>
            </w:r>
            <w:r w:rsidRPr="00724B98">
              <w:rPr>
                <w:sz w:val="22"/>
                <w:szCs w:val="22"/>
                <w:lang w:val="lt"/>
              </w:rPr>
              <w:t xml:space="preserve">ir inovacinės veiklos paslaugų įsigijimo iš išorės šaltinių įprastomis rinkos sąlygomis, t. y. kai perkama iš išorinių šaltinių už rinkos kainas, pagal šalių sudarytą sandorį, kai nėra </w:t>
            </w:r>
            <w:r w:rsidRPr="00724B98">
              <w:rPr>
                <w:sz w:val="22"/>
                <w:szCs w:val="22"/>
                <w:lang w:val="lt"/>
              </w:rPr>
              <w:lastRenderedPageBreak/>
              <w:t>jokių susijusių slapto susitarimo elementų, išlaidos.</w:t>
            </w:r>
          </w:p>
        </w:tc>
        <w:tc>
          <w:tcPr>
            <w:tcW w:w="4820" w:type="dxa"/>
          </w:tcPr>
          <w:p w14:paraId="6292546F" w14:textId="48DBFE38" w:rsidR="008E6058" w:rsidRPr="00E84D97" w:rsidRDefault="00C95829" w:rsidP="002834BD">
            <w:pPr>
              <w:pStyle w:val="ListParagraph"/>
              <w:ind w:left="161"/>
              <w:jc w:val="both"/>
              <w:rPr>
                <w:szCs w:val="22"/>
                <w:lang w:val="lt"/>
              </w:rPr>
            </w:pPr>
            <w:r w:rsidRPr="00E84D97">
              <w:rPr>
                <w:szCs w:val="22"/>
                <w:lang w:val="lt"/>
              </w:rPr>
              <w:lastRenderedPageBreak/>
              <w:t>Darbo</w:t>
            </w:r>
            <w:r w:rsidR="008E6058" w:rsidRPr="00E84D97">
              <w:rPr>
                <w:szCs w:val="22"/>
                <w:lang w:val="lt"/>
              </w:rPr>
              <w:t xml:space="preserve"> </w:t>
            </w:r>
            <w:r w:rsidR="000725DD" w:rsidRPr="00E84D97">
              <w:rPr>
                <w:szCs w:val="22"/>
                <w:lang w:val="lt"/>
              </w:rPr>
              <w:t>užmokestis</w:t>
            </w:r>
            <w:r w:rsidR="008E6058" w:rsidRPr="00E84D97">
              <w:rPr>
                <w:szCs w:val="22"/>
                <w:lang w:val="lt"/>
              </w:rPr>
              <w:t>:</w:t>
            </w:r>
          </w:p>
          <w:p w14:paraId="513BADB0" w14:textId="77777777" w:rsidR="00354EBF" w:rsidRPr="00E84D97" w:rsidRDefault="008E6058" w:rsidP="00354EBF">
            <w:pPr>
              <w:pStyle w:val="ListParagraph"/>
              <w:numPr>
                <w:ilvl w:val="0"/>
                <w:numId w:val="5"/>
              </w:numPr>
              <w:jc w:val="both"/>
              <w:rPr>
                <w:szCs w:val="22"/>
                <w:lang w:val="lt"/>
              </w:rPr>
            </w:pPr>
            <w:r w:rsidRPr="00E84D97">
              <w:rPr>
                <w:szCs w:val="22"/>
                <w:lang w:val="lt"/>
              </w:rPr>
              <w:t xml:space="preserve">dokumentai, kuriuose nustatomos asmenų darbo funkcijos ir darbo užmokestis, t. y. </w:t>
            </w:r>
            <w:r w:rsidRPr="00F26022">
              <w:rPr>
                <w:b/>
                <w:bCs/>
                <w:szCs w:val="22"/>
                <w:lang w:val="lt"/>
              </w:rPr>
              <w:t>darbo sutartys</w:t>
            </w:r>
            <w:r w:rsidR="00DD1F53" w:rsidRPr="00E84D97">
              <w:rPr>
                <w:szCs w:val="22"/>
                <w:lang w:val="lt"/>
              </w:rPr>
              <w:t xml:space="preserve"> arba įsakymas ar potvarkis dėl darbuotojų paskyrimo dirbti įgyvendinant projektą (jei taikoma organizacijoje, kuriame turėtų būti nurodytos darbuotojo pareigos įgyvendinant projektą, projekto numeris ir (arba) pavadinimas, darbo užmokestis arba jo apskaičiavimo tvarka, įsakymai dėl priedų ar priemokų skyrimo);</w:t>
            </w:r>
          </w:p>
          <w:p w14:paraId="38C5F4CF" w14:textId="77777777" w:rsidR="00250DE4" w:rsidRPr="00E84D97" w:rsidRDefault="00250DE4" w:rsidP="00250DE4">
            <w:pPr>
              <w:pStyle w:val="ListParagraph"/>
              <w:numPr>
                <w:ilvl w:val="0"/>
                <w:numId w:val="5"/>
              </w:numPr>
              <w:jc w:val="both"/>
              <w:rPr>
                <w:szCs w:val="22"/>
                <w:lang w:val="lt"/>
              </w:rPr>
            </w:pPr>
            <w:r w:rsidRPr="00E84D97">
              <w:rPr>
                <w:szCs w:val="22"/>
                <w:lang w:val="lt"/>
              </w:rPr>
              <w:t xml:space="preserve">dokumentiniai įrodymai apie asmenų įgyvendinant projektą išdirbtą darbo </w:t>
            </w:r>
            <w:r w:rsidRPr="00E84D97">
              <w:rPr>
                <w:szCs w:val="22"/>
                <w:lang w:val="lt"/>
              </w:rPr>
              <w:lastRenderedPageBreak/>
              <w:t xml:space="preserve">laiką (pavyzdžiui, </w:t>
            </w:r>
            <w:r w:rsidRPr="00F26022">
              <w:rPr>
                <w:b/>
                <w:bCs/>
                <w:szCs w:val="22"/>
                <w:lang w:val="lt"/>
              </w:rPr>
              <w:t>darbo laiko apskaitos žiniaraščiai</w:t>
            </w:r>
            <w:r w:rsidRPr="00E84D97">
              <w:rPr>
                <w:szCs w:val="22"/>
                <w:lang w:val="lt"/>
              </w:rPr>
              <w:t xml:space="preserve"> ar laikaraščiai); </w:t>
            </w:r>
          </w:p>
          <w:p w14:paraId="78289D83" w14:textId="289402C9" w:rsidR="00AD0A09" w:rsidRPr="00E84D97" w:rsidRDefault="0047422A" w:rsidP="00354EBF">
            <w:pPr>
              <w:pStyle w:val="ListParagraph"/>
              <w:numPr>
                <w:ilvl w:val="0"/>
                <w:numId w:val="5"/>
              </w:numPr>
              <w:jc w:val="both"/>
              <w:rPr>
                <w:szCs w:val="22"/>
                <w:lang w:val="lt"/>
              </w:rPr>
            </w:pPr>
            <w:r w:rsidRPr="00E84D97">
              <w:rPr>
                <w:szCs w:val="22"/>
                <w:lang w:val="lt"/>
              </w:rPr>
              <w:t>darbo užmokesčio apskaitos dokumentai-</w:t>
            </w:r>
            <w:r w:rsidR="00C95829" w:rsidRPr="00F26022">
              <w:rPr>
                <w:b/>
                <w:bCs/>
                <w:szCs w:val="22"/>
                <w:lang w:val="lt"/>
              </w:rPr>
              <w:t>priskaitymo žiniaraščiai</w:t>
            </w:r>
            <w:r w:rsidRPr="00E84D97">
              <w:rPr>
                <w:szCs w:val="22"/>
                <w:lang w:val="lt"/>
              </w:rPr>
              <w:t>;</w:t>
            </w:r>
          </w:p>
          <w:p w14:paraId="4D64CD94" w14:textId="77777777" w:rsidR="00E25B70" w:rsidRPr="00E84D97" w:rsidRDefault="00D76A60" w:rsidP="00A51F50">
            <w:pPr>
              <w:pStyle w:val="ListParagraph"/>
              <w:numPr>
                <w:ilvl w:val="0"/>
                <w:numId w:val="5"/>
              </w:numPr>
              <w:jc w:val="both"/>
              <w:rPr>
                <w:szCs w:val="22"/>
                <w:lang w:val="lt"/>
              </w:rPr>
            </w:pPr>
            <w:r w:rsidRPr="00E84D97">
              <w:rPr>
                <w:szCs w:val="22"/>
                <w:lang w:val="lt"/>
              </w:rPr>
              <w:t xml:space="preserve">išlaidų </w:t>
            </w:r>
            <w:r w:rsidRPr="00F26022">
              <w:rPr>
                <w:b/>
                <w:bCs/>
                <w:szCs w:val="22"/>
                <w:lang w:val="lt"/>
              </w:rPr>
              <w:t>apmokėjimo dokumentai</w:t>
            </w:r>
            <w:r w:rsidR="00A51F50" w:rsidRPr="00E84D97">
              <w:rPr>
                <w:szCs w:val="22"/>
                <w:lang w:val="lt"/>
              </w:rPr>
              <w:t xml:space="preserve">; </w:t>
            </w:r>
          </w:p>
          <w:p w14:paraId="67DDE2FE" w14:textId="1020979B" w:rsidR="00BD65F3" w:rsidRPr="00E84D97" w:rsidRDefault="00A51F50" w:rsidP="00A51F50">
            <w:pPr>
              <w:pStyle w:val="ListParagraph"/>
              <w:numPr>
                <w:ilvl w:val="0"/>
                <w:numId w:val="5"/>
              </w:numPr>
              <w:jc w:val="both"/>
              <w:rPr>
                <w:szCs w:val="22"/>
                <w:lang w:val="lt"/>
              </w:rPr>
            </w:pPr>
            <w:r w:rsidRPr="00F26022">
              <w:rPr>
                <w:b/>
                <w:bCs/>
                <w:szCs w:val="22"/>
                <w:lang w:val="lt"/>
              </w:rPr>
              <w:t>suvestinė pažyma</w:t>
            </w:r>
            <w:r w:rsidRPr="00E84D97">
              <w:rPr>
                <w:szCs w:val="22"/>
                <w:lang w:val="lt"/>
              </w:rPr>
              <w:t xml:space="preserve"> dėl darbo užmokesčio apskaičiavimo ir išmokėjimo.</w:t>
            </w:r>
          </w:p>
          <w:p w14:paraId="07091674" w14:textId="77777777" w:rsidR="00B12E74" w:rsidRPr="00E84D97" w:rsidRDefault="00B12E74" w:rsidP="002834BD">
            <w:pPr>
              <w:pStyle w:val="ListParagraph"/>
              <w:ind w:left="161"/>
              <w:jc w:val="both"/>
              <w:rPr>
                <w:szCs w:val="22"/>
                <w:lang w:val="lt"/>
              </w:rPr>
            </w:pPr>
          </w:p>
          <w:p w14:paraId="6BDC779F" w14:textId="77777777" w:rsidR="00B12E74" w:rsidRPr="00E84D97" w:rsidRDefault="00B12E74" w:rsidP="002834BD">
            <w:pPr>
              <w:pStyle w:val="ListParagraph"/>
              <w:ind w:left="161"/>
              <w:jc w:val="both"/>
              <w:rPr>
                <w:szCs w:val="22"/>
                <w:lang w:val="lt"/>
              </w:rPr>
            </w:pPr>
            <w:r w:rsidRPr="00E84D97">
              <w:rPr>
                <w:szCs w:val="22"/>
                <w:lang w:val="lt"/>
              </w:rPr>
              <w:t>Paslaugos:</w:t>
            </w:r>
          </w:p>
          <w:p w14:paraId="1D05CF35" w14:textId="02EAF4F5" w:rsidR="00B12E74" w:rsidRPr="00E84D97" w:rsidRDefault="00B12E74" w:rsidP="008E6058">
            <w:pPr>
              <w:pStyle w:val="ListParagraph"/>
              <w:numPr>
                <w:ilvl w:val="0"/>
                <w:numId w:val="4"/>
              </w:numPr>
              <w:jc w:val="both"/>
              <w:rPr>
                <w:szCs w:val="22"/>
                <w:lang w:val="lt"/>
              </w:rPr>
            </w:pPr>
            <w:r w:rsidRPr="00F26022">
              <w:rPr>
                <w:b/>
                <w:bCs/>
                <w:szCs w:val="22"/>
                <w:lang w:val="lt"/>
              </w:rPr>
              <w:t>pirkimo</w:t>
            </w:r>
            <w:r w:rsidRPr="00E84D97">
              <w:rPr>
                <w:szCs w:val="22"/>
                <w:lang w:val="lt"/>
              </w:rPr>
              <w:t xml:space="preserve"> ir pirkimo procedūrų </w:t>
            </w:r>
            <w:r w:rsidRPr="00F26022">
              <w:rPr>
                <w:b/>
                <w:bCs/>
                <w:szCs w:val="22"/>
                <w:lang w:val="lt"/>
              </w:rPr>
              <w:t>dokumentai</w:t>
            </w:r>
            <w:r w:rsidRPr="00E84D97">
              <w:rPr>
                <w:szCs w:val="22"/>
                <w:lang w:val="lt"/>
              </w:rPr>
              <w:t>;</w:t>
            </w:r>
          </w:p>
          <w:p w14:paraId="34CA3EC0" w14:textId="10C65CFD" w:rsidR="00041306" w:rsidRPr="00E84D97" w:rsidRDefault="00041306" w:rsidP="008E6058">
            <w:pPr>
              <w:pStyle w:val="ListParagraph"/>
              <w:numPr>
                <w:ilvl w:val="0"/>
                <w:numId w:val="4"/>
              </w:numPr>
              <w:jc w:val="both"/>
              <w:rPr>
                <w:szCs w:val="22"/>
                <w:lang w:val="lt"/>
              </w:rPr>
            </w:pPr>
            <w:r w:rsidRPr="00F26022">
              <w:rPr>
                <w:b/>
                <w:bCs/>
                <w:szCs w:val="22"/>
                <w:lang w:val="lt"/>
              </w:rPr>
              <w:t>sutartys</w:t>
            </w:r>
            <w:r w:rsidRPr="00E84D97">
              <w:rPr>
                <w:szCs w:val="22"/>
                <w:lang w:val="lt"/>
              </w:rPr>
              <w:t xml:space="preserve"> su paslaugų teikėjais;</w:t>
            </w:r>
          </w:p>
          <w:p w14:paraId="71023639" w14:textId="425276D5" w:rsidR="00041306" w:rsidRPr="00E84D97" w:rsidRDefault="00041306" w:rsidP="008E6058">
            <w:pPr>
              <w:pStyle w:val="ListParagraph"/>
              <w:numPr>
                <w:ilvl w:val="0"/>
                <w:numId w:val="4"/>
              </w:numPr>
              <w:jc w:val="both"/>
              <w:rPr>
                <w:szCs w:val="22"/>
                <w:lang w:val="lt"/>
              </w:rPr>
            </w:pPr>
            <w:r w:rsidRPr="00E84D97">
              <w:rPr>
                <w:szCs w:val="22"/>
                <w:lang w:val="lt"/>
              </w:rPr>
              <w:t xml:space="preserve">paslaugų </w:t>
            </w:r>
            <w:r w:rsidRPr="00F26022">
              <w:rPr>
                <w:b/>
                <w:bCs/>
                <w:szCs w:val="22"/>
                <w:lang w:val="lt"/>
              </w:rPr>
              <w:t>perdavimo–priėmimo aktai</w:t>
            </w:r>
            <w:r w:rsidRPr="00E84D97">
              <w:rPr>
                <w:szCs w:val="22"/>
                <w:lang w:val="lt"/>
              </w:rPr>
              <w:t>;</w:t>
            </w:r>
          </w:p>
          <w:p w14:paraId="018C2214" w14:textId="71C1FD0D" w:rsidR="003603B7" w:rsidRPr="00E84D97" w:rsidRDefault="003603B7" w:rsidP="008E6058">
            <w:pPr>
              <w:pStyle w:val="ListParagraph"/>
              <w:numPr>
                <w:ilvl w:val="0"/>
                <w:numId w:val="4"/>
              </w:numPr>
              <w:jc w:val="both"/>
              <w:rPr>
                <w:szCs w:val="22"/>
                <w:lang w:val="lt"/>
              </w:rPr>
            </w:pPr>
            <w:r w:rsidRPr="00F26022">
              <w:rPr>
                <w:b/>
                <w:bCs/>
                <w:szCs w:val="22"/>
                <w:lang w:val="lt"/>
              </w:rPr>
              <w:t>sąskaitos faktūros</w:t>
            </w:r>
            <w:r w:rsidRPr="00E84D97">
              <w:rPr>
                <w:szCs w:val="22"/>
                <w:lang w:val="lt"/>
              </w:rPr>
              <w:t>;</w:t>
            </w:r>
          </w:p>
          <w:p w14:paraId="087F2E32" w14:textId="5761F510" w:rsidR="00B12E74" w:rsidRPr="00F26022" w:rsidRDefault="00B12E74" w:rsidP="008E6058">
            <w:pPr>
              <w:pStyle w:val="ListParagraph"/>
              <w:numPr>
                <w:ilvl w:val="0"/>
                <w:numId w:val="4"/>
              </w:numPr>
              <w:jc w:val="both"/>
              <w:rPr>
                <w:b/>
                <w:bCs/>
                <w:szCs w:val="22"/>
                <w:lang w:val="lt"/>
              </w:rPr>
            </w:pPr>
            <w:r w:rsidRPr="00F26022">
              <w:rPr>
                <w:b/>
                <w:bCs/>
                <w:szCs w:val="22"/>
                <w:lang w:val="lt"/>
              </w:rPr>
              <w:t>išlaidų apmokėjimo dokumentai</w:t>
            </w:r>
          </w:p>
        </w:tc>
        <w:tc>
          <w:tcPr>
            <w:tcW w:w="2693" w:type="dxa"/>
          </w:tcPr>
          <w:p w14:paraId="611F819D" w14:textId="77777777" w:rsidR="000725DD" w:rsidRPr="000725DD" w:rsidRDefault="000725DD" w:rsidP="000725DD">
            <w:pPr>
              <w:pStyle w:val="ListParagraph"/>
              <w:ind w:left="33"/>
              <w:jc w:val="both"/>
              <w:rPr>
                <w:szCs w:val="22"/>
                <w:lang w:val="lt"/>
              </w:rPr>
            </w:pPr>
            <w:r w:rsidRPr="000725DD">
              <w:rPr>
                <w:szCs w:val="22"/>
                <w:lang w:val="lt"/>
              </w:rPr>
              <w:lastRenderedPageBreak/>
              <w:t>Jeigu pateikiama VA su daugiau kaip 30 tikrintinų elementų, taikoma tikrintinų dokumentų atranka.</w:t>
            </w:r>
          </w:p>
          <w:p w14:paraId="10BC54F5" w14:textId="77777777" w:rsidR="000725DD" w:rsidRPr="000725DD" w:rsidRDefault="000725DD" w:rsidP="000725DD">
            <w:pPr>
              <w:pStyle w:val="ListParagraph"/>
              <w:ind w:left="33"/>
              <w:jc w:val="both"/>
              <w:rPr>
                <w:szCs w:val="22"/>
                <w:lang w:val="lt"/>
              </w:rPr>
            </w:pPr>
            <w:r w:rsidRPr="000725DD">
              <w:rPr>
                <w:szCs w:val="22"/>
                <w:lang w:val="lt"/>
              </w:rPr>
              <w:t>Minimali tikrinimo imtis priklauso nuo bendro projekto rizikos reikšmingumo:</w:t>
            </w:r>
          </w:p>
          <w:p w14:paraId="2413E437" w14:textId="77777777" w:rsidR="000725DD" w:rsidRPr="000725DD" w:rsidRDefault="000725DD" w:rsidP="000725DD">
            <w:pPr>
              <w:pStyle w:val="ListParagraph"/>
              <w:ind w:left="174"/>
              <w:jc w:val="both"/>
              <w:rPr>
                <w:szCs w:val="22"/>
                <w:lang w:val="lt"/>
              </w:rPr>
            </w:pPr>
            <w:r w:rsidRPr="000725DD">
              <w:rPr>
                <w:szCs w:val="22"/>
                <w:lang w:val="lt"/>
              </w:rPr>
              <w:t>Mažas – 20 %</w:t>
            </w:r>
          </w:p>
          <w:p w14:paraId="2A26E813" w14:textId="77777777" w:rsidR="000725DD" w:rsidRPr="000725DD" w:rsidRDefault="000725DD" w:rsidP="000725DD">
            <w:pPr>
              <w:pStyle w:val="ListParagraph"/>
              <w:ind w:left="174"/>
              <w:jc w:val="both"/>
              <w:rPr>
                <w:szCs w:val="22"/>
                <w:lang w:val="lt"/>
              </w:rPr>
            </w:pPr>
            <w:r w:rsidRPr="000725DD">
              <w:rPr>
                <w:szCs w:val="22"/>
                <w:lang w:val="lt"/>
              </w:rPr>
              <w:t>Vidutinis – 25%</w:t>
            </w:r>
          </w:p>
          <w:p w14:paraId="31A1EF6E" w14:textId="77777777" w:rsidR="000725DD" w:rsidRPr="000725DD" w:rsidRDefault="000725DD" w:rsidP="000725DD">
            <w:pPr>
              <w:pStyle w:val="ListParagraph"/>
              <w:ind w:left="174"/>
              <w:jc w:val="both"/>
              <w:rPr>
                <w:szCs w:val="22"/>
                <w:lang w:val="lt"/>
              </w:rPr>
            </w:pPr>
            <w:r w:rsidRPr="000725DD">
              <w:rPr>
                <w:szCs w:val="22"/>
                <w:lang w:val="lt"/>
              </w:rPr>
              <w:t>Didelis – 30%</w:t>
            </w:r>
          </w:p>
          <w:p w14:paraId="2C6B103A" w14:textId="77777777" w:rsidR="000725DD" w:rsidRPr="000725DD" w:rsidRDefault="000725DD" w:rsidP="000725DD">
            <w:pPr>
              <w:pStyle w:val="ListParagraph"/>
              <w:jc w:val="both"/>
              <w:rPr>
                <w:szCs w:val="22"/>
                <w:lang w:val="lt"/>
              </w:rPr>
            </w:pPr>
          </w:p>
          <w:p w14:paraId="75662E46" w14:textId="225A3C91" w:rsidR="00BD65F3" w:rsidRPr="0073545F" w:rsidRDefault="000725DD" w:rsidP="000725DD">
            <w:pPr>
              <w:pStyle w:val="ListParagraph"/>
              <w:ind w:left="33"/>
              <w:jc w:val="both"/>
              <w:rPr>
                <w:szCs w:val="22"/>
                <w:lang w:val="lt"/>
              </w:rPr>
            </w:pPr>
            <w:r w:rsidRPr="000725DD">
              <w:rPr>
                <w:szCs w:val="22"/>
                <w:lang w:val="lt"/>
              </w:rPr>
              <w:t>Pagal susitarimą VA galima teikti rečiau, negu kas 3 mėn.</w:t>
            </w:r>
          </w:p>
        </w:tc>
      </w:tr>
      <w:tr w:rsidR="00BD65F3" w:rsidRPr="009D775B" w14:paraId="6419C412" w14:textId="77777777" w:rsidTr="000725DD">
        <w:tc>
          <w:tcPr>
            <w:tcW w:w="704" w:type="dxa"/>
          </w:tcPr>
          <w:p w14:paraId="5DBF275B" w14:textId="77777777" w:rsidR="00BD65F3" w:rsidRPr="009D775B" w:rsidRDefault="00BD65F3" w:rsidP="00B21EDB">
            <w:pPr>
              <w:jc w:val="both"/>
              <w:rPr>
                <w:bCs/>
                <w:szCs w:val="22"/>
              </w:rPr>
            </w:pPr>
            <w:r w:rsidRPr="009D775B">
              <w:rPr>
                <w:bCs/>
                <w:sz w:val="22"/>
                <w:szCs w:val="22"/>
              </w:rPr>
              <w:t>3.</w:t>
            </w:r>
          </w:p>
        </w:tc>
        <w:tc>
          <w:tcPr>
            <w:tcW w:w="1843" w:type="dxa"/>
          </w:tcPr>
          <w:p w14:paraId="0955BF94" w14:textId="77777777" w:rsidR="00BD65F3" w:rsidRPr="009D775B" w:rsidRDefault="00BD65F3" w:rsidP="00B21EDB">
            <w:pPr>
              <w:jc w:val="both"/>
              <w:rPr>
                <w:szCs w:val="22"/>
                <w:lang w:eastAsia="lt-LT"/>
              </w:rPr>
            </w:pPr>
            <w:r w:rsidRPr="00C57054">
              <w:rPr>
                <w:sz w:val="22"/>
                <w:szCs w:val="22"/>
                <w:lang w:eastAsia="lt-LT"/>
              </w:rPr>
              <w:t>Informavimas apie projektą</w:t>
            </w:r>
          </w:p>
        </w:tc>
        <w:tc>
          <w:tcPr>
            <w:tcW w:w="4819" w:type="dxa"/>
          </w:tcPr>
          <w:p w14:paraId="4F39F9C1" w14:textId="77777777" w:rsidR="00BD65F3" w:rsidRPr="00BD65F3" w:rsidRDefault="00BD65F3" w:rsidP="00B21EDB">
            <w:pPr>
              <w:jc w:val="both"/>
              <w:rPr>
                <w:b/>
                <w:sz w:val="22"/>
                <w:szCs w:val="22"/>
              </w:rPr>
            </w:pPr>
            <w:r w:rsidRPr="00BD65F3">
              <w:rPr>
                <w:b/>
                <w:sz w:val="22"/>
                <w:szCs w:val="22"/>
              </w:rPr>
              <w:t xml:space="preserve">Tinkama finansuoti. </w:t>
            </w:r>
          </w:p>
          <w:p w14:paraId="39A34B5C" w14:textId="2A24DD0F" w:rsidR="00BD65F3" w:rsidRPr="00BD65F3" w:rsidRDefault="00BD65F3" w:rsidP="00BD65F3">
            <w:pPr>
              <w:pStyle w:val="ListParagraph"/>
              <w:numPr>
                <w:ilvl w:val="0"/>
                <w:numId w:val="1"/>
              </w:numPr>
              <w:jc w:val="both"/>
              <w:rPr>
                <w:bCs/>
                <w:szCs w:val="22"/>
              </w:rPr>
            </w:pPr>
            <w:r w:rsidRPr="00BD65F3">
              <w:rPr>
                <w:bCs/>
                <w:sz w:val="22"/>
                <w:szCs w:val="22"/>
              </w:rPr>
              <w:t>Papildomos PĮP numatytos projektų veiklų sklaidos ir viešinimo priemonės.</w:t>
            </w:r>
          </w:p>
          <w:p w14:paraId="12C00804" w14:textId="77777777" w:rsidR="00BD65F3" w:rsidRPr="004A0343" w:rsidRDefault="00BD65F3" w:rsidP="00B21EDB">
            <w:pPr>
              <w:pStyle w:val="ListParagraph"/>
              <w:numPr>
                <w:ilvl w:val="0"/>
                <w:numId w:val="1"/>
              </w:numPr>
              <w:jc w:val="both"/>
              <w:rPr>
                <w:bCs/>
                <w:szCs w:val="22"/>
              </w:rPr>
            </w:pPr>
            <w:r w:rsidRPr="004A0343">
              <w:rPr>
                <w:bCs/>
                <w:sz w:val="22"/>
                <w:szCs w:val="22"/>
              </w:rPr>
              <w:t xml:space="preserve">Privalomos projektų matomumo ir informavimo apie projektus priemonės. </w:t>
            </w:r>
          </w:p>
        </w:tc>
        <w:tc>
          <w:tcPr>
            <w:tcW w:w="4820" w:type="dxa"/>
          </w:tcPr>
          <w:p w14:paraId="7CA4445A" w14:textId="6710C72D" w:rsidR="00BD65F3" w:rsidRPr="009D775B" w:rsidRDefault="00BD65F3" w:rsidP="00BD65F3">
            <w:pPr>
              <w:pStyle w:val="ListParagraph"/>
              <w:jc w:val="both"/>
              <w:rPr>
                <w:bCs/>
                <w:szCs w:val="22"/>
              </w:rPr>
            </w:pPr>
          </w:p>
        </w:tc>
        <w:tc>
          <w:tcPr>
            <w:tcW w:w="2693" w:type="dxa"/>
          </w:tcPr>
          <w:p w14:paraId="2CCA332B" w14:textId="3CC8311C" w:rsidR="00BD65F3" w:rsidRPr="009D775B" w:rsidRDefault="00BD65F3" w:rsidP="00BD65F3">
            <w:pPr>
              <w:pStyle w:val="ListParagraph"/>
              <w:jc w:val="both"/>
              <w:rPr>
                <w:bCs/>
                <w:szCs w:val="22"/>
              </w:rPr>
            </w:pPr>
          </w:p>
        </w:tc>
      </w:tr>
      <w:bookmarkEnd w:id="0"/>
    </w:tbl>
    <w:p w14:paraId="17A0C99D" w14:textId="10577877" w:rsidR="009746D3" w:rsidRDefault="009746D3"/>
    <w:p w14:paraId="6DD2A927" w14:textId="77777777" w:rsidR="009746D3" w:rsidRDefault="009746D3">
      <w:pPr>
        <w:spacing w:after="160" w:line="278" w:lineRule="auto"/>
      </w:pPr>
      <w:r>
        <w:br w:type="page"/>
      </w:r>
    </w:p>
    <w:p w14:paraId="06B51998" w14:textId="31218406" w:rsidR="009746D3" w:rsidRDefault="009746D3">
      <w:pPr>
        <w:rPr>
          <w:i/>
        </w:rPr>
      </w:pPr>
      <w:r w:rsidRPr="009746D3">
        <w:rPr>
          <w:i/>
        </w:rPr>
        <w:lastRenderedPageBreak/>
        <w:t>English</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843"/>
        <w:gridCol w:w="4819"/>
        <w:gridCol w:w="4820"/>
        <w:gridCol w:w="2693"/>
      </w:tblGrid>
      <w:tr w:rsidR="009746D3" w:rsidRPr="009D775B" w14:paraId="1E9B41E4" w14:textId="77777777" w:rsidTr="008B5EBA">
        <w:tc>
          <w:tcPr>
            <w:tcW w:w="704" w:type="dxa"/>
            <w:vAlign w:val="center"/>
          </w:tcPr>
          <w:p w14:paraId="430B46A8" w14:textId="6D2906AF" w:rsidR="009746D3" w:rsidRPr="009D775B" w:rsidRDefault="009746D3" w:rsidP="008B5EBA">
            <w:pPr>
              <w:jc w:val="center"/>
              <w:rPr>
                <w:b/>
                <w:szCs w:val="22"/>
              </w:rPr>
            </w:pPr>
            <w:r w:rsidRPr="00AF4ED7">
              <w:rPr>
                <w:b/>
                <w:bCs/>
                <w:szCs w:val="24"/>
              </w:rPr>
              <w:t>No.</w:t>
            </w:r>
          </w:p>
        </w:tc>
        <w:tc>
          <w:tcPr>
            <w:tcW w:w="1843" w:type="dxa"/>
            <w:vAlign w:val="center"/>
          </w:tcPr>
          <w:p w14:paraId="22A285F5" w14:textId="01390E0C" w:rsidR="009746D3" w:rsidRPr="009D775B" w:rsidRDefault="009746D3" w:rsidP="008B5EBA">
            <w:pPr>
              <w:jc w:val="center"/>
              <w:rPr>
                <w:b/>
                <w:szCs w:val="22"/>
              </w:rPr>
            </w:pPr>
            <w:r w:rsidRPr="00AF4ED7">
              <w:rPr>
                <w:b/>
                <w:bCs/>
                <w:szCs w:val="24"/>
              </w:rPr>
              <w:t>Expense Category</w:t>
            </w:r>
            <w:r w:rsidRPr="009D775B">
              <w:rPr>
                <w:b/>
                <w:sz w:val="22"/>
                <w:szCs w:val="22"/>
              </w:rPr>
              <w:t xml:space="preserve">  </w:t>
            </w:r>
          </w:p>
        </w:tc>
        <w:tc>
          <w:tcPr>
            <w:tcW w:w="4819" w:type="dxa"/>
            <w:vAlign w:val="center"/>
          </w:tcPr>
          <w:p w14:paraId="4FF9C332" w14:textId="7BC0875C" w:rsidR="009746D3" w:rsidRPr="009D775B" w:rsidRDefault="009746D3" w:rsidP="009746D3">
            <w:pPr>
              <w:jc w:val="center"/>
              <w:rPr>
                <w:b/>
                <w:szCs w:val="22"/>
              </w:rPr>
            </w:pPr>
            <w:r>
              <w:rPr>
                <w:b/>
                <w:bCs/>
                <w:szCs w:val="24"/>
              </w:rPr>
              <w:t>Requirements and Explanations</w:t>
            </w:r>
          </w:p>
        </w:tc>
        <w:tc>
          <w:tcPr>
            <w:tcW w:w="4820" w:type="dxa"/>
            <w:vAlign w:val="center"/>
          </w:tcPr>
          <w:p w14:paraId="3BC24209" w14:textId="18A16AA0" w:rsidR="009746D3" w:rsidRPr="009D775B" w:rsidRDefault="009746D3" w:rsidP="008B5EBA">
            <w:pPr>
              <w:jc w:val="center"/>
              <w:rPr>
                <w:b/>
                <w:szCs w:val="22"/>
              </w:rPr>
            </w:pPr>
            <w:r>
              <w:rPr>
                <w:b/>
                <w:bCs/>
                <w:szCs w:val="24"/>
              </w:rPr>
              <w:t>Documents Submitted to CPMA</w:t>
            </w:r>
          </w:p>
        </w:tc>
        <w:tc>
          <w:tcPr>
            <w:tcW w:w="2693" w:type="dxa"/>
            <w:vAlign w:val="center"/>
          </w:tcPr>
          <w:p w14:paraId="266C2A30" w14:textId="12439053" w:rsidR="009746D3" w:rsidRPr="009D775B" w:rsidRDefault="009746D3" w:rsidP="008B5EBA">
            <w:pPr>
              <w:jc w:val="center"/>
              <w:rPr>
                <w:b/>
                <w:szCs w:val="22"/>
              </w:rPr>
            </w:pPr>
            <w:r w:rsidRPr="00AF4ED7">
              <w:rPr>
                <w:b/>
                <w:bCs/>
                <w:szCs w:val="24"/>
              </w:rPr>
              <w:t>Possibility of Simplification</w:t>
            </w:r>
          </w:p>
        </w:tc>
      </w:tr>
      <w:tr w:rsidR="009746D3" w:rsidRPr="00F61BBD" w14:paraId="6474E2F0" w14:textId="77777777" w:rsidTr="008B5EBA">
        <w:trPr>
          <w:trHeight w:val="4205"/>
        </w:trPr>
        <w:tc>
          <w:tcPr>
            <w:tcW w:w="704" w:type="dxa"/>
          </w:tcPr>
          <w:p w14:paraId="453B821F" w14:textId="77777777" w:rsidR="009746D3" w:rsidRPr="009D775B" w:rsidRDefault="009746D3" w:rsidP="008B5EBA">
            <w:pPr>
              <w:jc w:val="both"/>
              <w:rPr>
                <w:bCs/>
                <w:szCs w:val="22"/>
              </w:rPr>
            </w:pPr>
            <w:r w:rsidRPr="009D775B">
              <w:rPr>
                <w:bCs/>
                <w:sz w:val="22"/>
                <w:szCs w:val="22"/>
              </w:rPr>
              <w:t>1.</w:t>
            </w:r>
          </w:p>
        </w:tc>
        <w:tc>
          <w:tcPr>
            <w:tcW w:w="1843" w:type="dxa"/>
          </w:tcPr>
          <w:p w14:paraId="16FBC53E" w14:textId="4E8D7700" w:rsidR="009746D3" w:rsidRPr="009D775B" w:rsidRDefault="009746D3" w:rsidP="008B5EBA">
            <w:pPr>
              <w:jc w:val="both"/>
              <w:rPr>
                <w:szCs w:val="22"/>
                <w:lang w:eastAsia="lt-LT"/>
              </w:rPr>
            </w:pPr>
            <w:r w:rsidRPr="009746D3">
              <w:rPr>
                <w:szCs w:val="22"/>
                <w:lang w:eastAsia="lt-LT"/>
              </w:rPr>
              <w:t>Equipment, Devices, and Other Assets</w:t>
            </w:r>
          </w:p>
        </w:tc>
        <w:tc>
          <w:tcPr>
            <w:tcW w:w="4819" w:type="dxa"/>
          </w:tcPr>
          <w:p w14:paraId="1E161694" w14:textId="64273D90" w:rsidR="009746D3" w:rsidRPr="00A40058" w:rsidRDefault="009746D3" w:rsidP="008B5EBA">
            <w:pPr>
              <w:jc w:val="both"/>
              <w:rPr>
                <w:szCs w:val="22"/>
              </w:rPr>
            </w:pPr>
            <w:r w:rsidRPr="009746D3">
              <w:rPr>
                <w:szCs w:val="22"/>
              </w:rPr>
              <w:t>Eligible for financing: Expenses for the acquisition and leasing (financial leasing) of necessary furniture, computer equipment, software, other equipment, devices, and other long-term assets required for project activities, as well as expenses for software development, creation and/or modernization of information systems (including information systems design, technical supervision, and other related expenses). When applying the pro rata principle, if used for non-project activities, only the portion necessary to achieve the project's results will be financed.</w:t>
            </w:r>
          </w:p>
        </w:tc>
        <w:tc>
          <w:tcPr>
            <w:tcW w:w="4820" w:type="dxa"/>
          </w:tcPr>
          <w:p w14:paraId="21A0D015" w14:textId="3A8600B9" w:rsidR="009746D3" w:rsidRPr="009746D3" w:rsidRDefault="009746D3" w:rsidP="009746D3">
            <w:pPr>
              <w:rPr>
                <w:szCs w:val="22"/>
              </w:rPr>
            </w:pPr>
            <w:r w:rsidRPr="009746D3">
              <w:rPr>
                <w:szCs w:val="22"/>
              </w:rPr>
              <w:t>Purchase documents, contracts with suppliers, contract amendments and additional agreements; invoices; goods acceptance-delivery certificates; expense payment documents.</w:t>
            </w:r>
          </w:p>
        </w:tc>
        <w:tc>
          <w:tcPr>
            <w:tcW w:w="2693" w:type="dxa"/>
          </w:tcPr>
          <w:p w14:paraId="32B4FDAF" w14:textId="02C9B3BC" w:rsidR="009746D3" w:rsidRPr="00F61BBD" w:rsidRDefault="009746D3" w:rsidP="008B5EBA">
            <w:pPr>
              <w:pStyle w:val="ListParagraph"/>
              <w:ind w:left="0"/>
              <w:jc w:val="both"/>
              <w:rPr>
                <w:szCs w:val="22"/>
              </w:rPr>
            </w:pPr>
            <w:r w:rsidRPr="009746D3">
              <w:rPr>
                <w:szCs w:val="22"/>
              </w:rPr>
              <w:t>If a VA (Verification Act) is submitted with more than 30 elements to be checked, a selection of documents to be checked is applied. The minimum sample size for verification depends on the overall project risk significance: Low – 20% Medium – 25% High – 30% By agreement, VA can be submitted less frequently than every 3 months.</w:t>
            </w:r>
          </w:p>
        </w:tc>
      </w:tr>
      <w:tr w:rsidR="009746D3" w:rsidRPr="0073545F" w14:paraId="325719B5" w14:textId="77777777" w:rsidTr="008B5EBA">
        <w:tc>
          <w:tcPr>
            <w:tcW w:w="704" w:type="dxa"/>
          </w:tcPr>
          <w:p w14:paraId="7332EC26" w14:textId="77777777" w:rsidR="009746D3" w:rsidRPr="009D775B" w:rsidRDefault="009746D3" w:rsidP="008B5EBA">
            <w:pPr>
              <w:jc w:val="both"/>
              <w:rPr>
                <w:bCs/>
                <w:szCs w:val="22"/>
              </w:rPr>
            </w:pPr>
            <w:r w:rsidRPr="009D775B">
              <w:rPr>
                <w:bCs/>
                <w:sz w:val="22"/>
                <w:szCs w:val="22"/>
              </w:rPr>
              <w:t>2.</w:t>
            </w:r>
          </w:p>
        </w:tc>
        <w:tc>
          <w:tcPr>
            <w:tcW w:w="1843" w:type="dxa"/>
          </w:tcPr>
          <w:p w14:paraId="039A5B47" w14:textId="1E15ACA9" w:rsidR="009746D3" w:rsidRPr="009D775B" w:rsidRDefault="009746D3" w:rsidP="008B5EBA">
            <w:pPr>
              <w:jc w:val="both"/>
              <w:rPr>
                <w:szCs w:val="22"/>
                <w:lang w:eastAsia="lt-LT"/>
              </w:rPr>
            </w:pPr>
            <w:r w:rsidRPr="009746D3">
              <w:rPr>
                <w:szCs w:val="22"/>
                <w:lang w:eastAsia="lt-LT"/>
              </w:rPr>
              <w:t>Project Implementation (Services and Salaries)</w:t>
            </w:r>
          </w:p>
        </w:tc>
        <w:tc>
          <w:tcPr>
            <w:tcW w:w="4819" w:type="dxa"/>
          </w:tcPr>
          <w:p w14:paraId="2F24EA49" w14:textId="364EF1A9" w:rsidR="009746D3" w:rsidRPr="009746D3" w:rsidRDefault="009746D3" w:rsidP="009746D3">
            <w:pPr>
              <w:jc w:val="both"/>
              <w:rPr>
                <w:bCs/>
                <w:szCs w:val="22"/>
              </w:rPr>
            </w:pPr>
            <w:r w:rsidRPr="009746D3">
              <w:rPr>
                <w:bCs/>
                <w:szCs w:val="22"/>
              </w:rPr>
              <w:t>Eligible for financing: Salary of project personnel and expenses related to employer obligations, remuneration to individuals implementing the project under service (civil), authorship, or other contracts. Incurred expenses for project personnel's salaries for annual leave and/or compensation for unused annual leave and additional rest days; legal and other services; acquisition of research, experimental development, and innovation services from external sources under normal market conditions, i.e., when purchased from external sources at market prices under a transaction concluded between the parties without any collusion elements.</w:t>
            </w:r>
          </w:p>
        </w:tc>
        <w:tc>
          <w:tcPr>
            <w:tcW w:w="4820" w:type="dxa"/>
          </w:tcPr>
          <w:p w14:paraId="5C2F37EC" w14:textId="02EDBE08" w:rsidR="009746D3" w:rsidRPr="009746D3" w:rsidRDefault="009746D3" w:rsidP="009746D3">
            <w:pPr>
              <w:jc w:val="both"/>
              <w:rPr>
                <w:bCs/>
                <w:szCs w:val="22"/>
                <w:lang w:val="lt"/>
              </w:rPr>
            </w:pPr>
            <w:r w:rsidRPr="009746D3">
              <w:rPr>
                <w:bCs/>
                <w:szCs w:val="22"/>
                <w:lang w:val="lt"/>
              </w:rPr>
              <w:t xml:space="preserve">Salaries: Documents establishing the functions and salaries of individuals, i.e., employment contracts or an order or decree on the appointment of employees to work on the project (if applicable in the organization, it should indicate the employee's duties in implementing the project, project number and/or title, salary or its calculation procedure, orders for the assignment of bonuses or allowances); documentary evidence of the time worked on the project by individuals (e.g., timesheets); payroll documents-salary calculation sheets; expense payment documents; summary certificate of salary calculation and payment. Services: Purchase and procurement procedure documents; contracts with service providers; </w:t>
            </w:r>
            <w:r w:rsidRPr="009746D3">
              <w:rPr>
                <w:bCs/>
                <w:szCs w:val="22"/>
                <w:lang w:val="lt"/>
              </w:rPr>
              <w:lastRenderedPageBreak/>
              <w:t>service acceptance-delivery certificates; invoices; expense payment documents.</w:t>
            </w:r>
          </w:p>
        </w:tc>
        <w:tc>
          <w:tcPr>
            <w:tcW w:w="2693" w:type="dxa"/>
          </w:tcPr>
          <w:p w14:paraId="3645E460" w14:textId="003DAD63" w:rsidR="009746D3" w:rsidRPr="0073545F" w:rsidRDefault="009746D3" w:rsidP="008B5EBA">
            <w:pPr>
              <w:pStyle w:val="ListParagraph"/>
              <w:ind w:left="33"/>
              <w:jc w:val="both"/>
              <w:rPr>
                <w:szCs w:val="22"/>
                <w:lang w:val="lt"/>
              </w:rPr>
            </w:pPr>
            <w:r w:rsidRPr="009746D3">
              <w:rPr>
                <w:szCs w:val="22"/>
                <w:lang w:val="lt"/>
              </w:rPr>
              <w:lastRenderedPageBreak/>
              <w:t>If a VA (Verification Act) is submitted with more than 30 elements to be checked, a selection of documents to be checked is applied. The minimum sample size for verification depends on the overall project risk significance: Low – 20% Medium – 25% High – 30% By agreement, VA can be submitted less frequently than every 3 months.</w:t>
            </w:r>
          </w:p>
        </w:tc>
      </w:tr>
      <w:tr w:rsidR="009746D3" w:rsidRPr="009D775B" w14:paraId="4D9E3B09" w14:textId="77777777" w:rsidTr="008B5EBA">
        <w:tc>
          <w:tcPr>
            <w:tcW w:w="704" w:type="dxa"/>
          </w:tcPr>
          <w:p w14:paraId="5281FEA2" w14:textId="77777777" w:rsidR="009746D3" w:rsidRPr="009D775B" w:rsidRDefault="009746D3" w:rsidP="008B5EBA">
            <w:pPr>
              <w:jc w:val="both"/>
              <w:rPr>
                <w:bCs/>
                <w:szCs w:val="22"/>
              </w:rPr>
            </w:pPr>
            <w:r w:rsidRPr="009D775B">
              <w:rPr>
                <w:bCs/>
                <w:sz w:val="22"/>
                <w:szCs w:val="22"/>
              </w:rPr>
              <w:t>3.</w:t>
            </w:r>
          </w:p>
        </w:tc>
        <w:tc>
          <w:tcPr>
            <w:tcW w:w="1843" w:type="dxa"/>
          </w:tcPr>
          <w:p w14:paraId="60126A6F" w14:textId="26CF837C" w:rsidR="009746D3" w:rsidRPr="009D775B" w:rsidRDefault="009746D3" w:rsidP="008B5EBA">
            <w:pPr>
              <w:jc w:val="both"/>
              <w:rPr>
                <w:szCs w:val="22"/>
                <w:lang w:eastAsia="lt-LT"/>
              </w:rPr>
            </w:pPr>
            <w:r w:rsidRPr="009746D3">
              <w:rPr>
                <w:szCs w:val="22"/>
                <w:lang w:eastAsia="lt-LT"/>
              </w:rPr>
              <w:t>Project Information</w:t>
            </w:r>
          </w:p>
        </w:tc>
        <w:tc>
          <w:tcPr>
            <w:tcW w:w="4819" w:type="dxa"/>
          </w:tcPr>
          <w:p w14:paraId="2B8E2F32" w14:textId="07477DAE" w:rsidR="009746D3" w:rsidRPr="009746D3" w:rsidRDefault="009746D3" w:rsidP="009746D3">
            <w:pPr>
              <w:jc w:val="both"/>
              <w:rPr>
                <w:bCs/>
                <w:szCs w:val="22"/>
              </w:rPr>
            </w:pPr>
            <w:r w:rsidRPr="009746D3">
              <w:rPr>
                <w:bCs/>
                <w:sz w:val="22"/>
                <w:szCs w:val="22"/>
              </w:rPr>
              <w:t>Eligible for financing: Additional dissemination and publicity measures for project activities as provided in the PIP. Mandatory measures for project visibility and public information about projects.</w:t>
            </w:r>
            <w:r w:rsidRPr="009746D3">
              <w:rPr>
                <w:bCs/>
                <w:sz w:val="22"/>
                <w:szCs w:val="22"/>
              </w:rPr>
              <w:t xml:space="preserve"> </w:t>
            </w:r>
          </w:p>
        </w:tc>
        <w:tc>
          <w:tcPr>
            <w:tcW w:w="4820" w:type="dxa"/>
          </w:tcPr>
          <w:p w14:paraId="08B56CCE" w14:textId="77777777" w:rsidR="009746D3" w:rsidRPr="009D775B" w:rsidRDefault="009746D3" w:rsidP="008B5EBA">
            <w:pPr>
              <w:pStyle w:val="ListParagraph"/>
              <w:jc w:val="both"/>
              <w:rPr>
                <w:bCs/>
                <w:szCs w:val="22"/>
              </w:rPr>
            </w:pPr>
          </w:p>
        </w:tc>
        <w:tc>
          <w:tcPr>
            <w:tcW w:w="2693" w:type="dxa"/>
          </w:tcPr>
          <w:p w14:paraId="331BD3EF" w14:textId="77777777" w:rsidR="009746D3" w:rsidRPr="009D775B" w:rsidRDefault="009746D3" w:rsidP="008B5EBA">
            <w:pPr>
              <w:pStyle w:val="ListParagraph"/>
              <w:jc w:val="both"/>
              <w:rPr>
                <w:bCs/>
                <w:szCs w:val="22"/>
              </w:rPr>
            </w:pPr>
          </w:p>
        </w:tc>
      </w:tr>
    </w:tbl>
    <w:p w14:paraId="45B0283E" w14:textId="77777777" w:rsidR="009746D3" w:rsidRDefault="009746D3">
      <w:pPr>
        <w:rPr>
          <w:i/>
        </w:rPr>
      </w:pPr>
    </w:p>
    <w:p w14:paraId="12049BBB" w14:textId="77777777" w:rsidR="009746D3" w:rsidRPr="009746D3" w:rsidRDefault="009746D3"/>
    <w:sectPr w:rsidR="009746D3" w:rsidRPr="009746D3" w:rsidSect="00814AD1">
      <w:pgSz w:w="16838" w:h="11906" w:orient="landscape"/>
      <w:pgMar w:top="1701"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2054A"/>
    <w:multiLevelType w:val="hybridMultilevel"/>
    <w:tmpl w:val="3034C192"/>
    <w:lvl w:ilvl="0" w:tplc="0427000F">
      <w:start w:val="1"/>
      <w:numFmt w:val="decimal"/>
      <w:lvlText w:val="%1."/>
      <w:lvlJc w:val="left"/>
      <w:pPr>
        <w:ind w:left="881" w:hanging="360"/>
      </w:pPr>
    </w:lvl>
    <w:lvl w:ilvl="1" w:tplc="04270019" w:tentative="1">
      <w:start w:val="1"/>
      <w:numFmt w:val="lowerLetter"/>
      <w:lvlText w:val="%2."/>
      <w:lvlJc w:val="left"/>
      <w:pPr>
        <w:ind w:left="1601" w:hanging="360"/>
      </w:pPr>
    </w:lvl>
    <w:lvl w:ilvl="2" w:tplc="0427001B" w:tentative="1">
      <w:start w:val="1"/>
      <w:numFmt w:val="lowerRoman"/>
      <w:lvlText w:val="%3."/>
      <w:lvlJc w:val="right"/>
      <w:pPr>
        <w:ind w:left="2321" w:hanging="180"/>
      </w:pPr>
    </w:lvl>
    <w:lvl w:ilvl="3" w:tplc="0427000F" w:tentative="1">
      <w:start w:val="1"/>
      <w:numFmt w:val="decimal"/>
      <w:lvlText w:val="%4."/>
      <w:lvlJc w:val="left"/>
      <w:pPr>
        <w:ind w:left="3041" w:hanging="360"/>
      </w:pPr>
    </w:lvl>
    <w:lvl w:ilvl="4" w:tplc="04270019" w:tentative="1">
      <w:start w:val="1"/>
      <w:numFmt w:val="lowerLetter"/>
      <w:lvlText w:val="%5."/>
      <w:lvlJc w:val="left"/>
      <w:pPr>
        <w:ind w:left="3761" w:hanging="360"/>
      </w:pPr>
    </w:lvl>
    <w:lvl w:ilvl="5" w:tplc="0427001B" w:tentative="1">
      <w:start w:val="1"/>
      <w:numFmt w:val="lowerRoman"/>
      <w:lvlText w:val="%6."/>
      <w:lvlJc w:val="right"/>
      <w:pPr>
        <w:ind w:left="4481" w:hanging="180"/>
      </w:pPr>
    </w:lvl>
    <w:lvl w:ilvl="6" w:tplc="0427000F" w:tentative="1">
      <w:start w:val="1"/>
      <w:numFmt w:val="decimal"/>
      <w:lvlText w:val="%7."/>
      <w:lvlJc w:val="left"/>
      <w:pPr>
        <w:ind w:left="5201" w:hanging="360"/>
      </w:pPr>
    </w:lvl>
    <w:lvl w:ilvl="7" w:tplc="04270019" w:tentative="1">
      <w:start w:val="1"/>
      <w:numFmt w:val="lowerLetter"/>
      <w:lvlText w:val="%8."/>
      <w:lvlJc w:val="left"/>
      <w:pPr>
        <w:ind w:left="5921" w:hanging="360"/>
      </w:pPr>
    </w:lvl>
    <w:lvl w:ilvl="8" w:tplc="0427001B" w:tentative="1">
      <w:start w:val="1"/>
      <w:numFmt w:val="lowerRoman"/>
      <w:lvlText w:val="%9."/>
      <w:lvlJc w:val="right"/>
      <w:pPr>
        <w:ind w:left="6641" w:hanging="180"/>
      </w:pPr>
    </w:lvl>
  </w:abstractNum>
  <w:abstractNum w:abstractNumId="1" w15:restartNumberingAfterBreak="0">
    <w:nsid w:val="15E82922"/>
    <w:multiLevelType w:val="hybridMultilevel"/>
    <w:tmpl w:val="779AEE74"/>
    <w:lvl w:ilvl="0" w:tplc="0427000F">
      <w:start w:val="1"/>
      <w:numFmt w:val="decimal"/>
      <w:lvlText w:val="%1."/>
      <w:lvlJc w:val="left"/>
      <w:pPr>
        <w:ind w:left="881" w:hanging="360"/>
      </w:pPr>
    </w:lvl>
    <w:lvl w:ilvl="1" w:tplc="04270019" w:tentative="1">
      <w:start w:val="1"/>
      <w:numFmt w:val="lowerLetter"/>
      <w:lvlText w:val="%2."/>
      <w:lvlJc w:val="left"/>
      <w:pPr>
        <w:ind w:left="1601" w:hanging="360"/>
      </w:pPr>
    </w:lvl>
    <w:lvl w:ilvl="2" w:tplc="0427001B" w:tentative="1">
      <w:start w:val="1"/>
      <w:numFmt w:val="lowerRoman"/>
      <w:lvlText w:val="%3."/>
      <w:lvlJc w:val="right"/>
      <w:pPr>
        <w:ind w:left="2321" w:hanging="180"/>
      </w:pPr>
    </w:lvl>
    <w:lvl w:ilvl="3" w:tplc="0427000F" w:tentative="1">
      <w:start w:val="1"/>
      <w:numFmt w:val="decimal"/>
      <w:lvlText w:val="%4."/>
      <w:lvlJc w:val="left"/>
      <w:pPr>
        <w:ind w:left="3041" w:hanging="360"/>
      </w:pPr>
    </w:lvl>
    <w:lvl w:ilvl="4" w:tplc="04270019" w:tentative="1">
      <w:start w:val="1"/>
      <w:numFmt w:val="lowerLetter"/>
      <w:lvlText w:val="%5."/>
      <w:lvlJc w:val="left"/>
      <w:pPr>
        <w:ind w:left="3761" w:hanging="360"/>
      </w:pPr>
    </w:lvl>
    <w:lvl w:ilvl="5" w:tplc="0427001B" w:tentative="1">
      <w:start w:val="1"/>
      <w:numFmt w:val="lowerRoman"/>
      <w:lvlText w:val="%6."/>
      <w:lvlJc w:val="right"/>
      <w:pPr>
        <w:ind w:left="4481" w:hanging="180"/>
      </w:pPr>
    </w:lvl>
    <w:lvl w:ilvl="6" w:tplc="0427000F" w:tentative="1">
      <w:start w:val="1"/>
      <w:numFmt w:val="decimal"/>
      <w:lvlText w:val="%7."/>
      <w:lvlJc w:val="left"/>
      <w:pPr>
        <w:ind w:left="5201" w:hanging="360"/>
      </w:pPr>
    </w:lvl>
    <w:lvl w:ilvl="7" w:tplc="04270019" w:tentative="1">
      <w:start w:val="1"/>
      <w:numFmt w:val="lowerLetter"/>
      <w:lvlText w:val="%8."/>
      <w:lvlJc w:val="left"/>
      <w:pPr>
        <w:ind w:left="5921" w:hanging="360"/>
      </w:pPr>
    </w:lvl>
    <w:lvl w:ilvl="8" w:tplc="0427001B" w:tentative="1">
      <w:start w:val="1"/>
      <w:numFmt w:val="lowerRoman"/>
      <w:lvlText w:val="%9."/>
      <w:lvlJc w:val="right"/>
      <w:pPr>
        <w:ind w:left="6641" w:hanging="180"/>
      </w:pPr>
    </w:lvl>
  </w:abstractNum>
  <w:abstractNum w:abstractNumId="2" w15:restartNumberingAfterBreak="0">
    <w:nsid w:val="45A51596"/>
    <w:multiLevelType w:val="hybridMultilevel"/>
    <w:tmpl w:val="B5109A50"/>
    <w:lvl w:ilvl="0" w:tplc="C024972A">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AA7E46"/>
    <w:multiLevelType w:val="hybridMultilevel"/>
    <w:tmpl w:val="8E34C8D0"/>
    <w:lvl w:ilvl="0" w:tplc="A386CAF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3F1394"/>
    <w:multiLevelType w:val="hybridMultilevel"/>
    <w:tmpl w:val="9C980024"/>
    <w:lvl w:ilvl="0" w:tplc="04270001">
      <w:start w:val="1"/>
      <w:numFmt w:val="bullet"/>
      <w:lvlText w:val=""/>
      <w:lvlJc w:val="left"/>
      <w:pPr>
        <w:ind w:left="881" w:hanging="360"/>
      </w:pPr>
      <w:rPr>
        <w:rFonts w:ascii="Symbol" w:hAnsi="Symbol" w:hint="default"/>
      </w:rPr>
    </w:lvl>
    <w:lvl w:ilvl="1" w:tplc="04270003" w:tentative="1">
      <w:start w:val="1"/>
      <w:numFmt w:val="bullet"/>
      <w:lvlText w:val="o"/>
      <w:lvlJc w:val="left"/>
      <w:pPr>
        <w:ind w:left="1601" w:hanging="360"/>
      </w:pPr>
      <w:rPr>
        <w:rFonts w:ascii="Courier New" w:hAnsi="Courier New" w:cs="Courier New" w:hint="default"/>
      </w:rPr>
    </w:lvl>
    <w:lvl w:ilvl="2" w:tplc="04270005" w:tentative="1">
      <w:start w:val="1"/>
      <w:numFmt w:val="bullet"/>
      <w:lvlText w:val=""/>
      <w:lvlJc w:val="left"/>
      <w:pPr>
        <w:ind w:left="2321" w:hanging="360"/>
      </w:pPr>
      <w:rPr>
        <w:rFonts w:ascii="Wingdings" w:hAnsi="Wingdings" w:hint="default"/>
      </w:rPr>
    </w:lvl>
    <w:lvl w:ilvl="3" w:tplc="04270001" w:tentative="1">
      <w:start w:val="1"/>
      <w:numFmt w:val="bullet"/>
      <w:lvlText w:val=""/>
      <w:lvlJc w:val="left"/>
      <w:pPr>
        <w:ind w:left="3041" w:hanging="360"/>
      </w:pPr>
      <w:rPr>
        <w:rFonts w:ascii="Symbol" w:hAnsi="Symbol" w:hint="default"/>
      </w:rPr>
    </w:lvl>
    <w:lvl w:ilvl="4" w:tplc="04270003" w:tentative="1">
      <w:start w:val="1"/>
      <w:numFmt w:val="bullet"/>
      <w:lvlText w:val="o"/>
      <w:lvlJc w:val="left"/>
      <w:pPr>
        <w:ind w:left="3761" w:hanging="360"/>
      </w:pPr>
      <w:rPr>
        <w:rFonts w:ascii="Courier New" w:hAnsi="Courier New" w:cs="Courier New" w:hint="default"/>
      </w:rPr>
    </w:lvl>
    <w:lvl w:ilvl="5" w:tplc="04270005" w:tentative="1">
      <w:start w:val="1"/>
      <w:numFmt w:val="bullet"/>
      <w:lvlText w:val=""/>
      <w:lvlJc w:val="left"/>
      <w:pPr>
        <w:ind w:left="4481" w:hanging="360"/>
      </w:pPr>
      <w:rPr>
        <w:rFonts w:ascii="Wingdings" w:hAnsi="Wingdings" w:hint="default"/>
      </w:rPr>
    </w:lvl>
    <w:lvl w:ilvl="6" w:tplc="04270001" w:tentative="1">
      <w:start w:val="1"/>
      <w:numFmt w:val="bullet"/>
      <w:lvlText w:val=""/>
      <w:lvlJc w:val="left"/>
      <w:pPr>
        <w:ind w:left="5201" w:hanging="360"/>
      </w:pPr>
      <w:rPr>
        <w:rFonts w:ascii="Symbol" w:hAnsi="Symbol" w:hint="default"/>
      </w:rPr>
    </w:lvl>
    <w:lvl w:ilvl="7" w:tplc="04270003" w:tentative="1">
      <w:start w:val="1"/>
      <w:numFmt w:val="bullet"/>
      <w:lvlText w:val="o"/>
      <w:lvlJc w:val="left"/>
      <w:pPr>
        <w:ind w:left="5921" w:hanging="360"/>
      </w:pPr>
      <w:rPr>
        <w:rFonts w:ascii="Courier New" w:hAnsi="Courier New" w:cs="Courier New" w:hint="default"/>
      </w:rPr>
    </w:lvl>
    <w:lvl w:ilvl="8" w:tplc="04270005" w:tentative="1">
      <w:start w:val="1"/>
      <w:numFmt w:val="bullet"/>
      <w:lvlText w:val=""/>
      <w:lvlJc w:val="left"/>
      <w:pPr>
        <w:ind w:left="6641" w:hanging="360"/>
      </w:pPr>
      <w:rPr>
        <w:rFonts w:ascii="Wingdings" w:hAnsi="Wingdings" w:hint="default"/>
      </w:rPr>
    </w:lvl>
  </w:abstractNum>
  <w:abstractNum w:abstractNumId="5" w15:restartNumberingAfterBreak="0">
    <w:nsid w:val="7E83354B"/>
    <w:multiLevelType w:val="hybridMultilevel"/>
    <w:tmpl w:val="4120C780"/>
    <w:lvl w:ilvl="0" w:tplc="427C06C0">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3D0"/>
    <w:rsid w:val="00041306"/>
    <w:rsid w:val="000725DD"/>
    <w:rsid w:val="0011776B"/>
    <w:rsid w:val="00156953"/>
    <w:rsid w:val="00250DE4"/>
    <w:rsid w:val="002834BD"/>
    <w:rsid w:val="00354EBF"/>
    <w:rsid w:val="003603B7"/>
    <w:rsid w:val="00433CE9"/>
    <w:rsid w:val="0047422A"/>
    <w:rsid w:val="00504112"/>
    <w:rsid w:val="00543A00"/>
    <w:rsid w:val="00594482"/>
    <w:rsid w:val="007C03B3"/>
    <w:rsid w:val="00814AD1"/>
    <w:rsid w:val="00884E79"/>
    <w:rsid w:val="008E6058"/>
    <w:rsid w:val="009746D3"/>
    <w:rsid w:val="009C33D0"/>
    <w:rsid w:val="00A1187D"/>
    <w:rsid w:val="00A51F50"/>
    <w:rsid w:val="00A652BC"/>
    <w:rsid w:val="00AC34D2"/>
    <w:rsid w:val="00AD0A09"/>
    <w:rsid w:val="00AD7732"/>
    <w:rsid w:val="00AF3B7C"/>
    <w:rsid w:val="00B12E74"/>
    <w:rsid w:val="00B67097"/>
    <w:rsid w:val="00B80A68"/>
    <w:rsid w:val="00BD65F3"/>
    <w:rsid w:val="00C47A80"/>
    <w:rsid w:val="00C95829"/>
    <w:rsid w:val="00D232C6"/>
    <w:rsid w:val="00D63B3F"/>
    <w:rsid w:val="00D76A60"/>
    <w:rsid w:val="00DD0CB8"/>
    <w:rsid w:val="00DD1F53"/>
    <w:rsid w:val="00DD5419"/>
    <w:rsid w:val="00E25B70"/>
    <w:rsid w:val="00E84D97"/>
    <w:rsid w:val="00E95E8D"/>
    <w:rsid w:val="00F260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D2CEC"/>
  <w15:chartTrackingRefBased/>
  <w15:docId w15:val="{AFE73B70-20B7-4CE5-912C-8E7C7A73B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AD1"/>
    <w:pPr>
      <w:spacing w:after="0" w:line="240" w:lineRule="auto"/>
    </w:pPr>
    <w:rPr>
      <w:rFonts w:ascii="Times New Roman" w:eastAsia="Times New Roman" w:hAnsi="Times New Roman" w:cs="Times New Roman"/>
      <w:kern w:val="0"/>
      <w:szCs w:val="20"/>
    </w:rPr>
  </w:style>
  <w:style w:type="paragraph" w:styleId="Heading1">
    <w:name w:val="heading 1"/>
    <w:basedOn w:val="Normal"/>
    <w:next w:val="Normal"/>
    <w:link w:val="Heading1Char"/>
    <w:uiPriority w:val="9"/>
    <w:qFormat/>
    <w:rsid w:val="009C33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C33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33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33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C33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C33D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33D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33D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33D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33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C33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C33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C33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C33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C33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33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33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33D0"/>
    <w:rPr>
      <w:rFonts w:eastAsiaTheme="majorEastAsia" w:cstheme="majorBidi"/>
      <w:color w:val="272727" w:themeColor="text1" w:themeTint="D8"/>
    </w:rPr>
  </w:style>
  <w:style w:type="paragraph" w:styleId="Title">
    <w:name w:val="Title"/>
    <w:basedOn w:val="Normal"/>
    <w:next w:val="Normal"/>
    <w:link w:val="TitleChar"/>
    <w:uiPriority w:val="10"/>
    <w:qFormat/>
    <w:rsid w:val="009C33D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33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33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33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33D0"/>
    <w:pPr>
      <w:spacing w:before="160"/>
      <w:jc w:val="center"/>
    </w:pPr>
    <w:rPr>
      <w:i/>
      <w:iCs/>
      <w:color w:val="404040" w:themeColor="text1" w:themeTint="BF"/>
    </w:rPr>
  </w:style>
  <w:style w:type="character" w:customStyle="1" w:styleId="QuoteChar">
    <w:name w:val="Quote Char"/>
    <w:basedOn w:val="DefaultParagraphFont"/>
    <w:link w:val="Quote"/>
    <w:uiPriority w:val="29"/>
    <w:rsid w:val="009C33D0"/>
    <w:rPr>
      <w:i/>
      <w:iCs/>
      <w:color w:val="404040" w:themeColor="text1" w:themeTint="BF"/>
    </w:rPr>
  </w:style>
  <w:style w:type="paragraph" w:styleId="ListParagraph">
    <w:name w:val="List Paragraph"/>
    <w:aliases w:val="List Paragraph Red,Bullet EY,Table of contents numbered,lp1,Bullet 1,Use Case List Paragraph,Numbering,ERP-List Paragraph,List Paragraph11,Teksto skyrius,List Paragraph1,Normal bullet 2,Bullet list,Numbered List,Lettre d'introduction,l"/>
    <w:basedOn w:val="Normal"/>
    <w:link w:val="ListParagraphChar"/>
    <w:uiPriority w:val="34"/>
    <w:qFormat/>
    <w:rsid w:val="009C33D0"/>
    <w:pPr>
      <w:ind w:left="720"/>
      <w:contextualSpacing/>
    </w:pPr>
  </w:style>
  <w:style w:type="character" w:styleId="IntenseEmphasis">
    <w:name w:val="Intense Emphasis"/>
    <w:basedOn w:val="DefaultParagraphFont"/>
    <w:uiPriority w:val="21"/>
    <w:qFormat/>
    <w:rsid w:val="009C33D0"/>
    <w:rPr>
      <w:i/>
      <w:iCs/>
      <w:color w:val="0F4761" w:themeColor="accent1" w:themeShade="BF"/>
    </w:rPr>
  </w:style>
  <w:style w:type="paragraph" w:styleId="IntenseQuote">
    <w:name w:val="Intense Quote"/>
    <w:basedOn w:val="Normal"/>
    <w:next w:val="Normal"/>
    <w:link w:val="IntenseQuoteChar"/>
    <w:uiPriority w:val="30"/>
    <w:qFormat/>
    <w:rsid w:val="009C33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33D0"/>
    <w:rPr>
      <w:i/>
      <w:iCs/>
      <w:color w:val="0F4761" w:themeColor="accent1" w:themeShade="BF"/>
    </w:rPr>
  </w:style>
  <w:style w:type="character" w:styleId="IntenseReference">
    <w:name w:val="Intense Reference"/>
    <w:basedOn w:val="DefaultParagraphFont"/>
    <w:uiPriority w:val="32"/>
    <w:qFormat/>
    <w:rsid w:val="009C33D0"/>
    <w:rPr>
      <w:b/>
      <w:bCs/>
      <w:smallCaps/>
      <w:color w:val="0F4761" w:themeColor="accent1" w:themeShade="BF"/>
      <w:spacing w:val="5"/>
    </w:rPr>
  </w:style>
  <w:style w:type="character" w:customStyle="1" w:styleId="ListParagraphChar">
    <w:name w:val="List Paragraph Char"/>
    <w:aliases w:val="List Paragraph Red Char,Bullet EY Char,Table of contents numbered Char,lp1 Char,Bullet 1 Char,Use Case List Paragraph Char,Numbering Char,ERP-List Paragraph Char,List Paragraph11 Char,Teksto skyrius Char,List Paragraph1 Char,l Char"/>
    <w:link w:val="ListParagraph"/>
    <w:uiPriority w:val="34"/>
    <w:qFormat/>
    <w:locked/>
    <w:rsid w:val="00814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988</Words>
  <Characters>5636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Zabolotnaja</dc:creator>
  <cp:keywords/>
  <dc:description/>
  <cp:lastModifiedBy>Geda Daškevičiūtė-Lazauskienė</cp:lastModifiedBy>
  <cp:revision>2</cp:revision>
  <dcterms:created xsi:type="dcterms:W3CDTF">2024-08-13T09:04:00Z</dcterms:created>
  <dcterms:modified xsi:type="dcterms:W3CDTF">2024-08-13T09:04:00Z</dcterms:modified>
</cp:coreProperties>
</file>